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Progetto di ricerca: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Rapporti tra Conservativa e </w:t>
      </w:r>
      <w:r>
        <w:rPr>
          <w:b w:val="1"/>
          <w:bCs w:val="1"/>
          <w:sz w:val="28"/>
          <w:szCs w:val="28"/>
          <w:rtl w:val="0"/>
          <w:lang w:val="it-IT"/>
        </w:rPr>
        <w:t>Chirurgia Mucogengivale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Circa il 50% delle recessioni gengivali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associato a difetti della superficie radicolare esposta, tipicamente dovuti alla presenza di lesioni cervicali non cariose o NCCL (Non Carious Cervical Lesion). In tali casi, quando la giunzione smalto-cemento non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identificabile a causa della presenza di una NCCL, il trattamento richiede una ricostruzione pre-operatoria dei tessuti duri del dente e 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esecuzione di un CAF con innesto connettivale. 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obiettivo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questo progetto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 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valutare i risultati clinici del trattamento di recessioni associate alla presenza di NCCL mediante approccio conservativo-parodontale.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Per poter ricostruire correttamente la porzione di smalto coinvolta nella NCCL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stata determinata la posizione originale della CEJ. Il restauro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stato eseguito utilizzando una resina composita nano-riempita e il margine apicale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stato posizionato 1 mm apicale alla posizione della CEJ stimata. La chirurgia muco-gengivale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stata eseguita una settimana dopo il restauro in composito. La tecnica chirurgica adottata consiste in un lembo spostato coronalmente con innesto connettivale. Il disegno del lembo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trapezoidale, con due incisioni orizzontali bisellate di 3 mm per lato, mesiale e distale al difetto, e due incisioni di rilascio verticali. 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elevazione del lembo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 spessore misto in direzione coronoapicale: parziale delle papille chirurgiche, totale dalla base del solco alla linea muco-gengivale e quindi ancora parziale profondo (del periostio) e superficiale (delle fibre muscolari). Le papille anatomiche vengono disepitelizzate per creare il letto vascolare che ricever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le papille chirurgiche. Il posizionamento coronale risulta adeguato quando il margine coronale del lembo rimane senza tensione oltre la CEJ dell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elemento con la recessione. La superficie radicolare esposta con perdita di attacco clinico viene trattata meccanicamente con curette. 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innesto di tessuto connettivo, ottenuto dal palato,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posizionato 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livello delle CEJ ideale del dente trattato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e suturato al connettivo presente 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lla base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delle papille. Le incisioni di rilascio vengono eseguite con suture singole in senso apico-coronale e le papille chirurgiche e anatomiche vengono sovrapposte e fissate con suture sospese.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Nell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ottenimento di un risultato estetico-funzionale ottimale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quindi importante stabilire i materiali, le tempistiche di esecuzione e le modalit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della ricostruzione conservativa in funzione della chirurgia micogengivale.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PIANO DI ATTIVIT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DI FORMAZIONE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ASSEGNISTA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tl w:val="0"/>
          <w:lang w:val="it-IT"/>
        </w:rPr>
        <w:t>In dettaglio gli obiettivi del progetto di ricerca sono: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Valutare tramite una analisi della letteratura  i nuovi studi clinici in cui vengano descritte in modo analitico </w:t>
      </w:r>
      <w:r>
        <w:rPr>
          <w:rtl w:val="0"/>
          <w:lang w:val="it-IT"/>
        </w:rPr>
        <w:t>interazioni tra</w:t>
      </w:r>
      <w:r>
        <w:rPr>
          <w:rtl w:val="0"/>
          <w:lang w:val="it-IT"/>
        </w:rPr>
        <w:t xml:space="preserve"> chirurgia mucogengivale</w:t>
      </w:r>
      <w:r>
        <w:rPr>
          <w:rtl w:val="0"/>
          <w:lang w:val="it-IT"/>
        </w:rPr>
        <w:t xml:space="preserve"> e conservativa.</w:t>
      </w:r>
    </w:p>
    <w:p>
      <w:pPr>
        <w:pStyle w:val="Normale"/>
        <w:widowControl w:val="0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Valutare gli studi, in base al loro rigore metodologico, per poterli includere in una revisione con lo scopo di </w:t>
      </w:r>
      <w:r>
        <w:rPr>
          <w:rtl w:val="0"/>
          <w:lang w:val="it-IT"/>
        </w:rPr>
        <w:t>definire delle linee guida per la restaurativa parodonto-conservativa.</w:t>
      </w:r>
    </w:p>
    <w:p>
      <w:pPr>
        <w:pStyle w:val="Normale"/>
        <w:widowControl w:val="0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Eseguire una </w:t>
      </w:r>
      <w:r>
        <w:rPr>
          <w:rtl w:val="0"/>
          <w:lang w:val="it-IT"/>
        </w:rPr>
        <w:t>analis</w:t>
      </w:r>
      <w:r>
        <w:rPr>
          <w:rtl w:val="0"/>
          <w:lang w:val="it-IT"/>
        </w:rPr>
        <w:t xml:space="preserve">i statistica dei risultati degli studi selezionati in modo da fornire una struttura per una revisione confrontando dati similari provenienti da studi confrontabili per valutare gli effetti delle procedure </w:t>
      </w:r>
      <w:r>
        <w:rPr>
          <w:rtl w:val="0"/>
          <w:lang w:val="it-IT"/>
        </w:rPr>
        <w:t xml:space="preserve">conservative </w:t>
      </w:r>
      <w:r>
        <w:rPr>
          <w:rtl w:val="0"/>
          <w:lang w:val="it-IT"/>
        </w:rPr>
        <w:t>pre-chirugiche</w:t>
      </w:r>
      <w:r>
        <w:rPr>
          <w:rtl w:val="0"/>
          <w:lang w:val="it-IT"/>
        </w:rPr>
        <w:t xml:space="preserve"> e/o </w:t>
      </w:r>
      <w:r>
        <w:rPr>
          <w:rtl w:val="0"/>
          <w:lang w:val="it-IT"/>
        </w:rPr>
        <w:t xml:space="preserve">intraoperatorie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influenzare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la stabilit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risultati nel tempo.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Grande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  <w:rPr>
        <w:rFonts w:ascii="Arial" w:cs="Arial" w:hAnsi="Arial" w:eastAsia="Arial"/>
        <w:sz w:val="20"/>
        <w:szCs w:val="20"/>
      </w:rPr>
    </w:pPr>
    <w:r>
      <w:rPr>
        <w:rFonts w:ascii="Arial" w:hAnsi="Arial"/>
        <w:sz w:val="20"/>
        <w:szCs w:val="20"/>
        <w:rtl w:val="0"/>
        <w:lang w:val="it-IT"/>
      </w:rPr>
      <w:t xml:space="preserve">ALMA MATER STUDIORUM </w:t>
    </w:r>
    <w:r>
      <w:rPr>
        <w:rFonts w:ascii="Arial" w:hAnsi="Arial" w:hint="default"/>
        <w:sz w:val="20"/>
        <w:szCs w:val="20"/>
        <w:rtl w:val="0"/>
        <w:lang w:val="it-IT"/>
      </w:rPr>
      <w:t xml:space="preserve">– </w:t>
    </w:r>
    <w:r>
      <w:rPr>
        <w:rFonts w:ascii="Arial" w:hAnsi="Arial"/>
        <w:sz w:val="20"/>
        <w:szCs w:val="20"/>
        <w:rtl w:val="0"/>
        <w:lang w:val="it-IT"/>
      </w:rPr>
      <w:t>UNIVERSITA</w:t>
    </w:r>
    <w:r>
      <w:rPr>
        <w:rFonts w:ascii="Arial" w:hAnsi="Arial" w:hint="default"/>
        <w:sz w:val="20"/>
        <w:szCs w:val="20"/>
        <w:rtl w:val="0"/>
        <w:lang w:val="it-IT"/>
      </w:rPr>
      <w:t xml:space="preserve">’ </w:t>
    </w:r>
    <w:r>
      <w:rPr>
        <w:rFonts w:ascii="Arial" w:hAnsi="Arial"/>
        <w:sz w:val="20"/>
        <w:szCs w:val="20"/>
        <w:rtl w:val="0"/>
        <w:lang w:val="it-IT"/>
      </w:rPr>
      <w:t>DI BOLOGNA</w:t>
    </w:r>
  </w:p>
  <w:p>
    <w:pPr>
      <w:pStyle w:val="footer"/>
      <w:tabs>
        <w:tab w:val="right" w:pos="9612"/>
        <w:tab w:val="clear" w:pos="9638"/>
      </w:tabs>
      <w:jc w:val="center"/>
      <w:rPr>
        <w:rFonts w:ascii="Arial" w:cs="Arial" w:hAnsi="Arial" w:eastAsia="Arial"/>
        <w:sz w:val="18"/>
        <w:szCs w:val="18"/>
      </w:rPr>
    </w:pPr>
    <w:r>
      <w:rPr>
        <w:rFonts w:ascii="Arial" w:hAnsi="Arial"/>
        <w:sz w:val="18"/>
        <w:szCs w:val="18"/>
        <w:rtl w:val="0"/>
        <w:lang w:val="it-IT"/>
      </w:rPr>
      <w:t xml:space="preserve">Sede Amministrativa Via Ugo Foscolo 7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 xml:space="preserve">40123 BOLOGNA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>tel. 0512092951 - Fax 0512092958</w:t>
    </w:r>
  </w:p>
  <w:p>
    <w:pPr>
      <w:pStyle w:val="footer"/>
      <w:tabs>
        <w:tab w:val="right" w:pos="9612"/>
        <w:tab w:val="clear" w:pos="9638"/>
      </w:tabs>
      <w:jc w:val="center"/>
    </w:pPr>
    <w:r>
      <w:rPr>
        <w:rFonts w:ascii="Arial" w:hAnsi="Arial"/>
        <w:sz w:val="18"/>
        <w:szCs w:val="18"/>
        <w:rtl w:val="0"/>
        <w:lang w:val="it-IT"/>
      </w:rPr>
      <w:t xml:space="preserve">Sede Operativa Via San Vitale 59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 xml:space="preserve">40125 Bologna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 xml:space="preserve">tel. 0512088150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>Fax 051225208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  <w:rPr>
        <w:rFonts w:ascii="Arial" w:cs="Arial" w:hAnsi="Arial" w:eastAsia="Arial"/>
        <w:sz w:val="20"/>
        <w:szCs w:val="20"/>
      </w:rPr>
    </w:pPr>
    <w:r>
      <w:rPr>
        <w:rFonts w:ascii="Arial" w:hAnsi="Arial"/>
        <w:sz w:val="20"/>
        <w:szCs w:val="20"/>
        <w:rtl w:val="0"/>
        <w:lang w:val="it-IT"/>
      </w:rPr>
      <w:t xml:space="preserve">ALMA MATER STUDIORUM </w:t>
    </w:r>
    <w:r>
      <w:rPr>
        <w:rFonts w:ascii="Arial" w:hAnsi="Arial" w:hint="default"/>
        <w:sz w:val="20"/>
        <w:szCs w:val="20"/>
        <w:rtl w:val="0"/>
        <w:lang w:val="it-IT"/>
      </w:rPr>
      <w:t xml:space="preserve">– </w:t>
    </w:r>
    <w:r>
      <w:rPr>
        <w:rFonts w:ascii="Arial" w:hAnsi="Arial"/>
        <w:sz w:val="20"/>
        <w:szCs w:val="20"/>
        <w:rtl w:val="0"/>
        <w:lang w:val="it-IT"/>
      </w:rPr>
      <w:t>UNIVERSITA</w:t>
    </w:r>
    <w:r>
      <w:rPr>
        <w:rFonts w:ascii="Arial" w:hAnsi="Arial" w:hint="default"/>
        <w:sz w:val="20"/>
        <w:szCs w:val="20"/>
        <w:rtl w:val="0"/>
        <w:lang w:val="it-IT"/>
      </w:rPr>
      <w:t xml:space="preserve">’ </w:t>
    </w:r>
    <w:r>
      <w:rPr>
        <w:rFonts w:ascii="Arial" w:hAnsi="Arial"/>
        <w:sz w:val="20"/>
        <w:szCs w:val="20"/>
        <w:rtl w:val="0"/>
        <w:lang w:val="it-IT"/>
      </w:rPr>
      <w:t>DI BOLOGNA</w:t>
    </w:r>
  </w:p>
  <w:p>
    <w:pPr>
      <w:pStyle w:val="footer"/>
      <w:tabs>
        <w:tab w:val="right" w:pos="9612"/>
        <w:tab w:val="clear" w:pos="9638"/>
      </w:tabs>
      <w:jc w:val="center"/>
      <w:rPr>
        <w:rFonts w:ascii="Arial" w:cs="Arial" w:hAnsi="Arial" w:eastAsia="Arial"/>
        <w:sz w:val="18"/>
        <w:szCs w:val="18"/>
      </w:rPr>
    </w:pPr>
    <w:r>
      <w:rPr>
        <w:rFonts w:ascii="Arial" w:hAnsi="Arial"/>
        <w:sz w:val="18"/>
        <w:szCs w:val="18"/>
        <w:rtl w:val="0"/>
        <w:lang w:val="it-IT"/>
      </w:rPr>
      <w:t xml:space="preserve">Sede Amministrativa Via Ugo Foscolo 7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 xml:space="preserve">40123 BOLOGNA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>tel. 0512092951 - Fax 0512092958</w:t>
    </w:r>
  </w:p>
  <w:p>
    <w:pPr>
      <w:pStyle w:val="footer"/>
      <w:tabs>
        <w:tab w:val="right" w:pos="9612"/>
        <w:tab w:val="clear" w:pos="9638"/>
      </w:tabs>
      <w:jc w:val="center"/>
    </w:pPr>
    <w:r>
      <w:rPr>
        <w:rFonts w:ascii="Arial" w:hAnsi="Arial"/>
        <w:sz w:val="18"/>
        <w:szCs w:val="18"/>
        <w:rtl w:val="0"/>
        <w:lang w:val="it-IT"/>
      </w:rPr>
      <w:t xml:space="preserve">Sede Operativa Via San Vitale 59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 xml:space="preserve">40125 Bologna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 xml:space="preserve">tel. 0512088150 </w:t>
    </w:r>
    <w:r>
      <w:rPr>
        <w:rFonts w:ascii="Arial" w:hAnsi="Arial" w:hint="default"/>
        <w:sz w:val="18"/>
        <w:szCs w:val="18"/>
        <w:rtl w:val="0"/>
        <w:lang w:val="it-IT"/>
      </w:rPr>
      <w:t xml:space="preserve">– </w:t>
    </w:r>
    <w:r>
      <w:rPr>
        <w:rFonts w:ascii="Arial" w:hAnsi="Arial"/>
        <w:sz w:val="18"/>
        <w:szCs w:val="18"/>
        <w:rtl w:val="0"/>
        <w:lang w:val="it-IT"/>
      </w:rPr>
      <w:t>Fax 051225208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  <w:rPr>
        <w:rFonts w:ascii="Arial" w:hAnsi="Arial"/>
        <w:b w:val="1"/>
        <w:bCs w:val="1"/>
        <w:outline w:val="0"/>
        <w:color w:val="de1a24"/>
        <w:sz w:val="27"/>
        <w:szCs w:val="27"/>
        <w:u w:color="de1a24"/>
        <w14:textFill>
          <w14:solidFill>
            <w14:srgbClr w14:val="DE1A24"/>
          </w14:solidFill>
        </w14:textFill>
      </w:rPr>
    </w:pPr>
    <w:r>
      <w:drawing xmlns:a="http://schemas.openxmlformats.org/drawingml/2006/main">
        <wp:inline distT="0" distB="0" distL="0" distR="0">
          <wp:extent cx="981075" cy="981075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981075" cy="981075"/>
              <wp:effectExtent l="0" t="0" r="0" b="0"/>
              <wp:docPr id="1073741826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981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77.2pt;height:77.2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header"/>
      <w:tabs>
        <w:tab w:val="right" w:pos="9612"/>
        <w:tab w:val="clear" w:pos="9638"/>
      </w:tabs>
      <w:jc w:val="center"/>
    </w:pPr>
  </w:p>
  <w:p>
    <w:pPr>
      <w:pStyle w:val="header"/>
      <w:tabs>
        <w:tab w:val="right" w:pos="9612"/>
        <w:tab w:val="clear" w:pos="9638"/>
      </w:tabs>
      <w:jc w:val="center"/>
      <w:rPr>
        <w:rFonts w:ascii="Lucida Grande" w:cs="Lucida Grande" w:hAnsi="Lucida Grande" w:eastAsia="Lucida Grande"/>
        <w:b w:val="1"/>
        <w:bCs w:val="1"/>
        <w:outline w:val="0"/>
        <w:color w:val="262626"/>
        <w:u w:color="262626"/>
        <w14:textFill>
          <w14:solidFill>
            <w14:srgbClr w14:val="262626"/>
          </w14:solidFill>
        </w14:textFill>
      </w:rPr>
    </w:pPr>
    <w:r>
      <w:rPr>
        <w:rFonts w:ascii="Lucida Grande" w:hAnsi="Lucida Grande"/>
        <w:b w:val="1"/>
        <w:bCs w:val="1"/>
        <w:outline w:val="0"/>
        <w:color w:val="262626"/>
        <w:u w:color="262626"/>
        <w:rtl w:val="0"/>
        <w:lang w:val="it-IT"/>
        <w14:textFill>
          <w14:solidFill>
            <w14:srgbClr w14:val="262626"/>
          </w14:solidFill>
        </w14:textFill>
      </w:rPr>
      <w:t>DIPARTIMENTO DI SCIENZE BIOMEDICHE E NEUROMOTORIE</w:t>
    </w:r>
  </w:p>
  <w:p>
    <w:pPr>
      <w:pStyle w:val="header"/>
      <w:tabs>
        <w:tab w:val="right" w:pos="9612"/>
        <w:tab w:val="clear" w:pos="9638"/>
      </w:tabs>
      <w:jc w:val="center"/>
      <w:rPr>
        <w:rFonts w:ascii="Lucida Grande" w:cs="Lucida Grande" w:hAnsi="Lucida Grande" w:eastAsia="Lucida Grande"/>
        <w:outline w:val="0"/>
        <w:color w:val="262626"/>
        <w:u w:color="262626"/>
        <w14:textFill>
          <w14:solidFill>
            <w14:srgbClr w14:val="262626"/>
          </w14:solidFill>
        </w14:textFill>
      </w:rPr>
    </w:pPr>
  </w:p>
  <w:p>
    <w:pPr>
      <w:pStyle w:val="header"/>
      <w:tabs>
        <w:tab w:val="right" w:pos="9612"/>
        <w:tab w:val="clear" w:pos="9638"/>
      </w:tabs>
      <w:jc w:val="center"/>
      <w:rPr>
        <w:rFonts w:ascii="Lucida Grande" w:cs="Lucida Grande" w:hAnsi="Lucida Grande" w:eastAsia="Lucida Grande"/>
        <w:outline w:val="0"/>
        <w:color w:val="262626"/>
        <w:u w:color="262626"/>
        <w14:textFill>
          <w14:solidFill>
            <w14:srgbClr w14:val="262626"/>
          </w14:solidFill>
        </w14:textFill>
      </w:rPr>
    </w:pPr>
  </w:p>
  <w:p>
    <w:pPr>
      <w:pStyle w:val="header"/>
      <w:tabs>
        <w:tab w:val="right" w:pos="9612"/>
        <w:tab w:val="clear" w:pos="9638"/>
      </w:tabs>
      <w:jc w:val="right"/>
    </w:pPr>
    <w:r>
      <w:rPr>
        <w:rFonts w:ascii="Lucida Grande" w:hAnsi="Lucida Grande"/>
        <w:outline w:val="0"/>
        <w:color w:val="262626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Prof. Giovanni Zucchelli </w:t>
    </w:r>
    <w:r>
      <w:rPr>
        <w:rFonts w:ascii="Verdana" w:hAnsi="Verdana"/>
        <w:outline w:val="0"/>
        <w:color w:val="6c6c6c"/>
        <w:u w:color="6c6c6c"/>
        <w:rtl w:val="0"/>
        <w:lang w:val="it-IT"/>
        <w14:textFill>
          <w14:solidFill>
            <w14:srgbClr w14:val="6C6C6C"/>
          </w14:solidFill>
        </w14:textFill>
      </w:rPr>
      <w:t xml:space="preserve">  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  <w:rPr>
        <w:rFonts w:ascii="Arial" w:cs="Arial" w:hAnsi="Arial" w:eastAsia="Arial"/>
        <w:b w:val="1"/>
        <w:bCs w:val="1"/>
        <w:outline w:val="0"/>
        <w:color w:val="de1a24"/>
        <w:sz w:val="27"/>
        <w:szCs w:val="27"/>
        <w:u w:color="de1a24"/>
        <w14:textFill>
          <w14:solidFill>
            <w14:srgbClr w14:val="DE1A24"/>
          </w14:solidFill>
        </w14:textFill>
      </w:rPr>
    </w:pPr>
    <w:r>
      <w:drawing xmlns:a="http://schemas.openxmlformats.org/drawingml/2006/main">
        <wp:inline distT="0" distB="0" distL="0" distR="0">
          <wp:extent cx="981075" cy="981075"/>
          <wp:effectExtent l="0" t="0" r="0" b="0"/>
          <wp:docPr id="107374182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981075" cy="981075"/>
              <wp:effectExtent l="0" t="0" r="0" b="0"/>
              <wp:docPr id="1073741828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981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77.2pt;height:77.2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>
    <w:pPr>
      <w:pStyle w:val="header"/>
      <w:tabs>
        <w:tab w:val="right" w:pos="9612"/>
        <w:tab w:val="clear" w:pos="9638"/>
      </w:tabs>
      <w:jc w:val="center"/>
    </w:pPr>
  </w:p>
  <w:p>
    <w:pPr>
      <w:pStyle w:val="header"/>
      <w:tabs>
        <w:tab w:val="right" w:pos="9612"/>
        <w:tab w:val="clear" w:pos="9638"/>
      </w:tabs>
      <w:jc w:val="center"/>
      <w:rPr>
        <w:rFonts w:ascii="Lucida Grande" w:cs="Lucida Grande" w:hAnsi="Lucida Grande" w:eastAsia="Lucida Grande"/>
        <w:b w:val="1"/>
        <w:bCs w:val="1"/>
        <w:outline w:val="0"/>
        <w:color w:val="262626"/>
        <w:u w:color="262626"/>
        <w14:textFill>
          <w14:solidFill>
            <w14:srgbClr w14:val="262626"/>
          </w14:solidFill>
        </w14:textFill>
      </w:rPr>
    </w:pPr>
    <w:r>
      <w:rPr>
        <w:rFonts w:ascii="Lucida Grande" w:hAnsi="Lucida Grande"/>
        <w:b w:val="1"/>
        <w:bCs w:val="1"/>
        <w:outline w:val="0"/>
        <w:color w:val="262626"/>
        <w:u w:color="262626"/>
        <w:rtl w:val="0"/>
        <w:lang w:val="it-IT"/>
        <w14:textFill>
          <w14:solidFill>
            <w14:srgbClr w14:val="262626"/>
          </w14:solidFill>
        </w14:textFill>
      </w:rPr>
      <w:t>DIPARTIMENTO DI SCIENZE BIOMEDICHE E NEUROMOTORIE</w:t>
    </w:r>
  </w:p>
  <w:p>
    <w:pPr>
      <w:pStyle w:val="header"/>
      <w:tabs>
        <w:tab w:val="right" w:pos="9612"/>
        <w:tab w:val="clear" w:pos="9638"/>
      </w:tabs>
      <w:jc w:val="center"/>
      <w:rPr>
        <w:rFonts w:ascii="Lucida Grande" w:cs="Lucida Grande" w:hAnsi="Lucida Grande" w:eastAsia="Lucida Grande"/>
        <w:outline w:val="0"/>
        <w:color w:val="262626"/>
        <w:u w:color="262626"/>
        <w14:textFill>
          <w14:solidFill>
            <w14:srgbClr w14:val="262626"/>
          </w14:solidFill>
        </w14:textFill>
      </w:rPr>
    </w:pPr>
  </w:p>
  <w:p>
    <w:pPr>
      <w:pStyle w:val="header"/>
      <w:tabs>
        <w:tab w:val="right" w:pos="9612"/>
        <w:tab w:val="clear" w:pos="9638"/>
      </w:tabs>
      <w:jc w:val="center"/>
      <w:rPr>
        <w:rFonts w:ascii="Lucida Grande" w:cs="Lucida Grande" w:hAnsi="Lucida Grande" w:eastAsia="Lucida Grande"/>
        <w:outline w:val="0"/>
        <w:color w:val="262626"/>
        <w:u w:color="262626"/>
        <w14:textFill>
          <w14:solidFill>
            <w14:srgbClr w14:val="262626"/>
          </w14:solidFill>
        </w14:textFill>
      </w:rPr>
    </w:pPr>
  </w:p>
  <w:p>
    <w:pPr>
      <w:pStyle w:val="header"/>
      <w:tabs>
        <w:tab w:val="right" w:pos="9612"/>
        <w:tab w:val="clear" w:pos="9638"/>
      </w:tabs>
      <w:jc w:val="right"/>
    </w:pPr>
    <w:r>
      <w:rPr>
        <w:rFonts w:ascii="Lucida Grande" w:hAnsi="Lucida Grande"/>
        <w:outline w:val="0"/>
        <w:color w:val="262626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Prof. Giovanni Zucchelli </w:t>
    </w:r>
    <w:r>
      <w:rPr>
        <w:rFonts w:ascii="Verdana" w:hAnsi="Verdana"/>
        <w:outline w:val="0"/>
        <w:color w:val="6c6c6c"/>
        <w:u w:color="6c6c6c"/>
        <w:rtl w:val="0"/>
        <w:lang w:val="it-IT"/>
        <w14:textFill>
          <w14:solidFill>
            <w14:srgbClr w14:val="6C6C6C"/>
          </w14:solidFill>
        </w14:textFill>
      </w:rPr>
      <w:t xml:space="preserve">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